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sz w:val="36"/>
          <w:lang w:val="en-US" w:eastAsia="zh-CN"/>
          <w:rFonts w:ascii="Calibri" w:hAnsi="Calibri" w:eastAsia="宋体"/>
        </w:rPr>
      </w:pPr>
      <w:r>
        <w:rPr>
          <w:sz w:val="36"/>
          <w:lang w:val="en-US" w:eastAsia="zh-CN"/>
          <w:rFonts w:ascii="Calibri" w:hAnsi="Calibri" w:hint="eastAsia"/>
        </w:rPr>
        <w:t xml:space="preserve">起 </w:t>
      </w:r>
      <w:r>
        <w:rPr>
          <w:sz w:val="36"/>
          <w:lang w:val="en-US" w:eastAsia="zh-CN"/>
          <w:rFonts w:ascii="Calibri" w:hAnsi="Calibri" w:eastAsia="宋体"/>
        </w:rPr>
        <w:t xml:space="preserve">诉</w:t>
      </w:r>
      <w:r>
        <w:rPr>
          <w:sz w:val="36"/>
          <w:lang w:val="en-US" w:eastAsia="zh-CN"/>
          <w:rFonts w:ascii="Calibri" w:hAnsi="Calibri" w:hint="eastAsia"/>
        </w:rPr>
        <w:t xml:space="preserve"> </w:t>
      </w:r>
      <w:r>
        <w:rPr>
          <w:sz w:val="36"/>
          <w:lang w:val="en-US" w:eastAsia="zh-CN"/>
          <w:rFonts w:ascii="Calibri" w:hAnsi="Calibri" w:eastAsia="宋体"/>
        </w:rPr>
        <w:t xml:space="preserve">状</w:t>
      </w:r>
      <w:r>
        <w:rPr>
          <w:sz w:val="36"/>
          <w:lang w:val="en-US" w:eastAsia="zh-CN"/>
          <w:rFonts w:ascii="Calibri" w:hAnsi="Calibri" w:eastAsia="宋体"/>
        </w:rPr>
      </w:r>
    </w:p>
    <w:p>
      <w:pPr>
        <w:pStyle w:val="Normal"/>
        <w:widowControl w:val="1"/>
        <w:keepNext w:val="0"/>
        <w:keepLines w:val="0"/>
        <w:jc w:val="start"/>
        <w:suppressLineNumbers w:val="off"/>
        <w:rPr>
          <w:sz w:val="30"/>
          <w:lang w:val="en-US" w:eastAsia="zh-CN"/>
          <w:rFonts w:ascii="Calibri" w:hAnsi="Calibri" w:eastAsia="宋体"/>
        </w:rPr>
      </w:pPr>
      <w:r>
        <w:rPr>
          <w:sz w:val="30"/>
          <w:lang w:val="en-US" w:eastAsia="zh-CN"/>
          <w:rFonts w:ascii="Calibri" w:hAnsi="Calibri" w:eastAsia="宋体"/>
        </w:rPr>
        <w:t xml:space="preserve">    原告：</w:t>
      </w:r>
      <w:r>
        <w:rPr>
          <w:color w:val="000000"/>
          <w:sz w:val="31"/>
          <w:lang w:val="en-US" w:eastAsia="zh-CN" w:bidi="ar"/>
          <w:szCs w:val="31"/>
          <w:kern w:val="0"/>
          <w:rFonts w:ascii="仿宋_GB2312" w:hAnsi="仿宋_GB2312" w:eastAsia="仿宋_GB2312"/>
        </w:rPr>
        <w:t xml:space="preserve">鞍山昌锦能源化工有限公司，统一社会信用代码 </w:t>
      </w:r>
      <w:r/>
    </w:p>
    <w:p>
      <w:pPr>
        <w:pStyle w:val="Normal"/>
        <w:widowControl w:val="1"/>
        <w:keepNext w:val="0"/>
        <w:keepLines w:val="0"/>
        <w:jc w:val="start"/>
        <w:suppressLineNumbers w:val="off"/>
        <w:rPr>
          <w:color w:val="000000"/>
          <w:sz w:val="31"/>
          <w:lang w:val="en-US" w:eastAsia="zh-CN" w:bidi="ar"/>
          <w:rFonts w:ascii="仿宋_GB2312" w:hAnsi="仿宋_GB2312" w:eastAsia="仿宋_GB2312"/>
        </w:rPr>
      </w:pPr>
      <w:r>
        <w:rPr>
          <w:color w:val="000000"/>
          <w:sz w:val="31"/>
          <w:lang w:val="en-US" w:eastAsia="zh-CN" w:bidi="ar"/>
          <w:szCs w:val="31"/>
          <w:kern w:val="0"/>
          <w:rFonts w:ascii="仿宋_GB2312" w:hAnsi="仿宋_GB2312" w:eastAsia="仿宋_GB2312"/>
        </w:rPr>
        <w:t xml:space="preserve">91210381729087606F，住所地辽宁省海城市耿庄镇秦家村 545 </w:t>
      </w:r>
      <w:r/>
      <w:r>
        <w:rPr>
          <w:color w:val="000000"/>
          <w:sz w:val="31"/>
          <w:lang w:val="en-US" w:eastAsia="zh-CN" w:bidi="ar"/>
          <w:szCs w:val="31"/>
          <w:kern w:val="0"/>
          <w:rFonts w:ascii="仿宋_GB2312" w:hAnsi="仿宋_GB2312" w:eastAsia="仿宋_GB2312"/>
        </w:rPr>
        <w:t xml:space="preserve">号。 法定代表人</w:t>
      </w:r>
      <w:r>
        <w:rPr>
          <w:color w:val="000000"/>
          <w:sz w:val="31"/>
          <w:lang w:val="en-US" w:eastAsia="zh-CN" w:bidi="ar"/>
          <w:szCs w:val="31"/>
          <w:kern w:val="0"/>
          <w:rFonts w:ascii="仿宋_GB2312" w:hAnsi="仿宋_GB2312" w:eastAsia="仿宋_GB2312" w:hint="eastAsia"/>
        </w:rPr>
        <w:t xml:space="preserve">：</w:t>
      </w:r>
      <w:r>
        <w:rPr>
          <w:color w:val="000000"/>
          <w:sz w:val="31"/>
          <w:lang w:val="en-US" w:eastAsia="zh-CN" w:bidi="ar"/>
          <w:szCs w:val="31"/>
          <w:kern w:val="0"/>
          <w:rFonts w:ascii="仿宋_GB2312" w:hAnsi="仿宋_GB2312" w:eastAsia="仿宋_GB2312"/>
        </w:rPr>
        <w:t xml:space="preserve">王祉祁，职务</w:t>
      </w:r>
      <w:r>
        <w:rPr>
          <w:color w:val="000000"/>
          <w:sz w:val="31"/>
          <w:lang w:val="en-US" w:eastAsia="zh-CN" w:bidi="ar"/>
          <w:szCs w:val="31"/>
          <w:kern w:val="0"/>
          <w:rFonts w:ascii="仿宋_GB2312" w:hAnsi="仿宋_GB2312" w:eastAsia="仿宋_GB2312" w:hint="eastAsia"/>
        </w:rPr>
        <w:t xml:space="preserve">：</w:t>
      </w:r>
      <w:r>
        <w:rPr>
          <w:color w:val="000000"/>
          <w:sz w:val="31"/>
          <w:lang w:val="en-US" w:eastAsia="zh-CN" w:bidi="ar"/>
          <w:szCs w:val="31"/>
          <w:kern w:val="0"/>
          <w:rFonts w:ascii="仿宋_GB2312" w:hAnsi="仿宋_GB2312" w:eastAsia="仿宋_GB2312"/>
        </w:rPr>
        <w:t xml:space="preserve">经理</w:t>
      </w:r>
      <w:r>
        <w:rPr>
          <w:color w:val="000000"/>
          <w:sz w:val="31"/>
          <w:lang w:val="en-US" w:eastAsia="zh-CN" w:bidi="ar"/>
          <w:szCs w:val="31"/>
          <w:kern w:val="0"/>
          <w:rFonts w:ascii="仿宋_GB2312" w:hAnsi="仿宋_GB2312" w:eastAsia="仿宋_GB2312" w:hint="eastAsia"/>
        </w:rPr>
        <w:t xml:space="preserve">  </w:t>
      </w:r>
      <w:r>
        <w:rPr>
          <w:sz w:val="30"/>
          <w:lang w:val="en-US" w:eastAsia="zh-CN"/>
          <w:rFonts w:ascii="Calibri" w:hAnsi="Calibri" w:hint="eastAsia"/>
        </w:rPr>
        <w:t xml:space="preserve">电话：15842223399</w:t>
      </w:r>
    </w:p>
    <w:p>
      <w:pPr>
        <w:pStyle w:val="Normal"/>
        <w:widowControl w:val="1"/>
        <w:keepNext w:val="0"/>
        <w:keepLines w:val="0"/>
        <w:jc w:val="start"/>
        <w:suppressLineNumbers w:val="off"/>
        <w:rPr>
          <w:color w:val="000000"/>
          <w:sz w:val="31"/>
          <w:lang w:val="en-US" w:eastAsia="zh-CN" w:bidi="ar"/>
          <w:szCs w:val="31"/>
          <w:kern w:val="0"/>
          <w:rFonts w:ascii="仿宋_GB2312" w:hAnsi="仿宋_GB2312" w:eastAsia="仿宋_GB2312"/>
        </w:rPr>
      </w:pPr>
      <w:r>
        <w:rPr>
          <w:sz w:val="30"/>
          <w:lang w:val="en-US" w:eastAsia="zh-CN"/>
          <w:rFonts w:ascii="Calibri" w:hAnsi="Calibri" w:eastAsia="宋体"/>
        </w:rPr>
      </w:r>
      <w:r>
        <w:rPr>
          <w:color w:val="000000"/>
          <w:sz w:val="31"/>
          <w:lang w:val="en-US" w:eastAsia="zh-CN" w:bidi="ar"/>
          <w:rFonts w:ascii="仿宋_GB2312" w:hAnsi="仿宋_GB2312" w:eastAsia="仿宋_GB2312"/>
        </w:rPr>
        <w:t xml:space="preserve">    被告一:国家税务总局海城市税务局，统一社会信用代码11210381</w:t>
      </w:r>
      <w:r>
        <w:rPr>
          <w:u w:val="none"/>
          <w:color w:val="000000"/>
          <w:sz w:val="31"/>
          <w:lang w:val="en-US" w:eastAsia="zh-CN" w:bidi="ar"/>
          <w:rFonts w:ascii="仿宋_GB2312" w:hAnsi="仿宋_GB2312" w:eastAsia="仿宋_GB2312"/>
        </w:rPr>
        <w:t xml:space="preserve">MB1881583</w:t>
      </w:r>
      <w:r>
        <w:rPr>
          <w:u w:val="none"/>
          <w:color w:val="000000"/>
          <w:sz w:val="31"/>
          <w:lang w:val="en-US" w:eastAsia="zh-CN" w:bidi="ar"/>
          <w:rFonts w:ascii="仿宋_GB2312" w:hAnsi="仿宋_GB2312" w:eastAsia="仿宋_GB2312"/>
        </w:rPr>
        <w:t xml:space="preserve">A，住所地海城市兴海大街181号。</w:t>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rFonts w:ascii="Calibri" w:hAnsi="Calibri" w:eastAsia="宋体"/>
        </w:rPr>
      </w:pPr>
      <w:r>
        <w:rPr>
          <w:sz w:val="30"/>
          <w:lang w:val="en-US" w:eastAsia="zh-CN"/>
          <w:rFonts w:ascii="Calibri" w:hAnsi="Calibri" w:hint="eastAsia"/>
        </w:rPr>
        <w:t xml:space="preserve">被告二：</w:t>
      </w:r>
      <w:r>
        <w:rPr>
          <w:sz w:val="30"/>
          <w:lang w:val="en-US" w:eastAsia="zh-CN"/>
          <w:rFonts w:ascii="Calibri" w:hAnsi="Calibri" w:eastAsia="宋体"/>
        </w:rPr>
        <w:t xml:space="preserve">国家税务总局鞍山市税务局第一稽查局，统一社会信用代码11210300MB16535568，住所地辽宁省鞍山市铁东区烈士山街3-5号。法定代表人冯东，职务局长。</w:t>
      </w:r>
      <w:r>
        <w:rPr>
          <w:sz w:val="30"/>
          <w:lang w:val="en-US" w:eastAsia="zh-CN"/>
          <w:rFonts w:ascii="Calibri" w:hAnsi="Calibri" w:hint="eastAsia"/>
        </w:rPr>
        <w:t xml:space="preserve">电话：15698922171</w:t>
      </w:r>
      <w:r>
        <w:rPr>
          <w:sz w:val="30"/>
          <w:lang w:val="en-US" w:eastAsia="zh-CN"/>
          <w:rFonts w:ascii="Calibri" w:hAnsi="Calibri" w:eastAsia="宋体"/>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rFonts w:ascii="Calibri" w:hAnsi="Calibri" w:eastAsia="宋体"/>
        </w:rPr>
      </w:pPr>
      <w:r>
        <w:rPr>
          <w:sz w:val="30"/>
          <w:lang w:val="en-US" w:eastAsia="zh-CN"/>
          <w:rFonts w:ascii="Calibri" w:hAnsi="Calibri" w:eastAsia="宋体"/>
        </w:rPr>
        <w:t xml:space="preserve">被</w:t>
      </w:r>
      <w:r>
        <w:rPr>
          <w:sz w:val="30"/>
          <w:lang w:val="en-US" w:eastAsia="zh-CN"/>
          <w:rFonts w:ascii="Calibri" w:hAnsi="Calibri" w:hint="eastAsia"/>
        </w:rPr>
        <w:t xml:space="preserve">告三：</w:t>
      </w:r>
      <w:r>
        <w:rPr>
          <w:sz w:val="30"/>
          <w:lang w:val="en-US" w:eastAsia="zh-CN"/>
          <w:rFonts w:ascii="Calibri" w:hAnsi="Calibri" w:eastAsia="宋体"/>
        </w:rPr>
        <w:t xml:space="preserve">国家税务总局鞍山市税务局，统一社会信用代码</w:t>
      </w:r>
      <w:r>
        <w:rPr>
          <w:sz w:val="30"/>
          <w:lang w:val="en-US" w:eastAsia="zh-CN"/>
          <w:rFonts w:ascii="Calibri" w:hAnsi="Calibri" w:eastAsia="宋体"/>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rPr>
          <w:sz w:val="30"/>
          <w:lang w:val="en-US" w:eastAsia="zh-CN"/>
          <w:rFonts w:ascii="Calibri" w:hAnsi="Calibri" w:eastAsia="宋体"/>
        </w:rPr>
      </w:pPr>
      <w:r>
        <w:rPr>
          <w:sz w:val="30"/>
          <w:lang w:val="en-US" w:eastAsia="zh-CN"/>
          <w:rFonts w:ascii="Calibri" w:hAnsi="Calibri" w:eastAsia="宋体"/>
        </w:rPr>
        <w:t xml:space="preserve">11210300MB1507401H,住所地辽宁省鞍山市铁东区二一九路50号。法定代表人曲春光，职务局长。</w:t>
      </w:r>
      <w:r>
        <w:rPr>
          <w:sz w:val="30"/>
          <w:lang w:val="en-US" w:eastAsia="zh-CN"/>
          <w:rFonts w:ascii="Calibri" w:hAnsi="Calibri" w:hint="eastAsia"/>
        </w:rPr>
        <w:t xml:space="preserve">电话：13841227999</w:t>
      </w:r>
      <w:r>
        <w:rPr>
          <w:sz w:val="30"/>
          <w:lang w:val="en-US" w:eastAsia="zh-CN"/>
          <w:rFonts w:ascii="Calibri" w:hAnsi="Calibri" w:eastAsia="宋体"/>
        </w:rPr>
      </w:r>
      <w:r>
        <w:rPr>
          <w:sz w:val="30"/>
          <w:lang w:val="en-US" w:eastAsia="zh-CN"/>
          <w:rFonts w:ascii="Calibri" w:hAnsi="Calibri" w:hint="eastAsia"/>
        </w:rPr>
      </w:r>
    </w:p>
    <w:p>
      <w:pPr>
        <w:pStyle w:val="Normal"/>
        <w:widowControl w:val="0"/>
        <w:keepNext w:val="0"/>
        <w:keepLines w:val="0"/>
        <w:pageBreakBefore w:val="0"/>
        <w:wordWrap w:val="1"/>
        <w:overflowPunct w:val="1"/>
        <w:topLinePunct w:val="0"/>
        <w:kinsoku w:val="1"/>
        <w:autoSpaceDE w:val="1"/>
        <w:autoSpaceDN w:val="1"/>
        <w:bidi w:val="0"/>
        <w:snapToGrid w:val="1"/>
        <w:jc w:val="center"/>
        <w:spacing w:line="500" w:lineRule="exact"/>
        <w:rPr>
          <w:sz w:val="30"/>
          <w:lang w:val="en-US" w:eastAsia="zh-CN"/>
          <w:rFonts w:ascii="Calibri" w:hAnsi="Calibri" w:hint="eastAsia"/>
        </w:rPr>
      </w:pPr>
      <w:r>
        <w:rPr>
          <w:sz w:val="30"/>
          <w:lang w:val="en-US" w:eastAsia="zh-CN"/>
          <w:rFonts w:ascii="Calibri" w:hAnsi="Calibri" w:hint="eastAsia"/>
        </w:rPr>
        <w:t xml:space="preserve">上诉请求</w:t>
      </w:r>
      <w:r>
        <w:rPr>
          <w:sz w:val="30"/>
          <w:lang w:val="en-US" w:eastAsia="zh-CN"/>
          <w:rFonts w:ascii="Calibri" w:hAnsi="Calibri"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numPr>
          <w:ilvl w:val="0"/>
          <w:numId w:val="1"/>
        </w:numPr>
        <w:spacing w:line="500" w:lineRule="exact"/>
        <w:rPr>
          <w:sz w:val="30"/>
          <w:lang w:val="en-US" w:eastAsia="zh-CN"/>
          <w:rFonts w:ascii="Calibri" w:hAnsi="Calibri" w:hint="eastAsia"/>
        </w:rPr>
      </w:pPr>
      <w:r>
        <w:rPr>
          <w:sz w:val="30"/>
          <w:lang w:val="en-US" w:eastAsia="zh-CN"/>
          <w:rFonts w:ascii="Calibri" w:hAnsi="Calibri" w:hint="eastAsia"/>
        </w:rPr>
        <w:t xml:space="preserve">依法撤销</w:t>
      </w:r>
      <w:r>
        <w:rPr>
          <w:sz w:val="30"/>
          <w:lang w:val="en-US" w:eastAsia="zh-CN"/>
          <w:rFonts w:ascii="Calibri" w:hAnsi="Calibri" w:eastAsia="宋体"/>
        </w:rPr>
        <w:t xml:space="preserve">(2024)辽0381行初4</w:t>
      </w:r>
      <w:r>
        <w:rPr>
          <w:sz w:val="30"/>
          <w:lang w:val="en-US" w:eastAsia="zh-CN"/>
          <w:rFonts w:hint="eastAsia"/>
        </w:rPr>
        <w:t xml:space="preserve">6</w:t>
      </w:r>
      <w:r>
        <w:rPr>
          <w:sz w:val="30"/>
          <w:lang w:val="en-US" w:eastAsia="zh-CN"/>
          <w:rFonts w:ascii="Calibri" w:hAnsi="Calibri" w:eastAsia="宋体"/>
        </w:rPr>
        <w:t xml:space="preserve">号</w:t>
      </w:r>
      <w:r>
        <w:rPr>
          <w:sz w:val="30"/>
          <w:lang w:val="en-US" w:eastAsia="zh-CN"/>
          <w:rFonts w:ascii="Calibri" w:hAnsi="Calibri" w:hint="eastAsia"/>
        </w:rPr>
        <w:t xml:space="preserve">行政判决书，并撤销</w:t>
      </w:r>
      <w:r>
        <w:rPr>
          <w:sz w:val="30"/>
          <w:lang w:val="en-US" w:eastAsia="zh-CN"/>
          <w:rFonts w:ascii="Calibri" w:hAnsi="Calibri" w:eastAsia="宋体"/>
        </w:rPr>
        <w:t xml:space="preserve">鞍税一稽处[2023]7</w:t>
      </w:r>
      <w:r>
        <w:rPr>
          <w:sz w:val="30"/>
          <w:lang w:val="en-US" w:eastAsia="zh-CN"/>
          <w:rFonts w:hint="eastAsia"/>
        </w:rPr>
        <w:t xml:space="preserve">4</w:t>
      </w:r>
      <w:r>
        <w:rPr>
          <w:sz w:val="30"/>
          <w:lang w:val="en-US" w:eastAsia="zh-CN"/>
          <w:rFonts w:ascii="Calibri" w:hAnsi="Calibri" w:eastAsia="宋体"/>
        </w:rPr>
        <w:t xml:space="preserve">号《税务处理决定书》</w:t>
      </w:r>
      <w:r>
        <w:rPr>
          <w:sz w:val="30"/>
          <w:lang w:val="en-US" w:eastAsia="zh-CN"/>
          <w:rFonts w:ascii="Calibri" w:hAnsi="Calibri" w:hint="eastAsia"/>
        </w:rPr>
        <w:t xml:space="preserve">和鞍税税复决字[2024]00</w:t>
      </w:r>
      <w:r>
        <w:rPr>
          <w:sz w:val="30"/>
          <w:lang w:val="en-US" w:eastAsia="zh-CN"/>
          <w:rFonts w:hint="eastAsia"/>
        </w:rPr>
        <w:t xml:space="preserve">3</w:t>
      </w:r>
      <w:r>
        <w:rPr>
          <w:sz w:val="30"/>
          <w:lang w:val="en-US" w:eastAsia="zh-CN"/>
          <w:rFonts w:ascii="Calibri" w:hAnsi="Calibri" w:hint="eastAsia"/>
        </w:rPr>
        <w:t xml:space="preserve">号《行政复议决定书》。</w:t>
      </w:r>
      <w:r>
        <w:rPr>
          <w:sz w:val="30"/>
          <w:lang w:val="en-US" w:eastAsia="zh-CN"/>
          <w:rFonts w:ascii="Calibri" w:hAnsi="Calibri"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numPr>
          <w:ilvl w:val="0"/>
          <w:numId w:val="1"/>
        </w:numPr>
        <w:spacing w:line="500" w:lineRule="exact"/>
        <w:rPr>
          <w:sz w:val="30"/>
          <w:lang w:val="en-US" w:eastAsia="zh-CN"/>
          <w:rFonts w:ascii="Calibri" w:hAnsi="Calibri" w:hint="eastAsia"/>
        </w:rPr>
      </w:pPr>
      <w:r>
        <w:rPr>
          <w:sz w:val="30"/>
          <w:lang w:val="en-US" w:eastAsia="zh-CN"/>
          <w:rFonts w:ascii="Calibri" w:hAnsi="Calibri" w:hint="eastAsia"/>
        </w:rPr>
        <w:t xml:space="preserve">本案诉讼费由三被告承担。</w:t>
      </w:r>
      <w:r>
        <w:rPr>
          <w:sz w:val="30"/>
          <w:lang w:val="en-US" w:eastAsia="zh-CN"/>
          <w:rFonts w:ascii="Calibri" w:hAnsi="Calibri"/>
        </w:rPr>
      </w:r>
    </w:p>
    <w:p>
      <w:pPr>
        <w:pStyle w:val="Normal"/>
        <w:widowControl w:val="0"/>
        <w:keepNext w:val="0"/>
        <w:keepLines w:val="0"/>
        <w:pageBreakBefore w:val="0"/>
        <w:wordWrap w:val="1"/>
        <w:overflowPunct w:val="1"/>
        <w:topLinePunct w:val="0"/>
        <w:kinsoku w:val="1"/>
        <w:autoSpaceDE w:val="1"/>
        <w:autoSpaceDN w:val="1"/>
        <w:bidi w:val="0"/>
        <w:snapToGrid w:val="1"/>
        <w:jc w:val="center"/>
        <w:numPr>
          <w:ilvl w:val="0"/>
          <w:numId w:val="0"/>
        </w:numPr>
        <w:spacing w:line="500" w:lineRule="exact"/>
        <w:rPr>
          <w:sz w:val="30"/>
          <w:lang w:val="en-US" w:eastAsia="zh-CN"/>
          <w:rFonts w:ascii="Calibri" w:hAnsi="Calibri" w:hint="eastAsia"/>
        </w:rPr>
      </w:pPr>
      <w:r>
        <w:rPr>
          <w:sz w:val="30"/>
          <w:lang w:val="en-US" w:eastAsia="zh-CN"/>
          <w:rFonts w:ascii="Calibri" w:hAnsi="Calibri" w:hint="eastAsia"/>
        </w:rPr>
        <w:t xml:space="preserve">事实及理由</w:t>
      </w:r>
      <w:r>
        <w:rPr>
          <w:sz w:val="30"/>
          <w:lang w:val="en-US" w:eastAsia="zh-CN"/>
          <w:rFonts w:ascii="Calibri" w:hAnsi="Calibri"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rFonts w:ascii="Calibri" w:hAnsi="Calibri" w:eastAsia="宋体"/>
        </w:rPr>
      </w:pPr>
      <w:r>
        <w:rPr>
          <w:sz w:val="30"/>
          <w:lang w:val="en-US" w:eastAsia="zh-CN"/>
          <w:rFonts w:ascii="Calibri" w:hAnsi="Calibri" w:eastAsia="宋体"/>
        </w:rPr>
        <w:t xml:space="preserve">被告二</w:t>
      </w:r>
      <w:r>
        <w:rPr>
          <w:sz w:val="30"/>
          <w:lang w:val="en-US" w:eastAsia="zh-CN"/>
          <w:rFonts w:ascii="Calibri" w:hAnsi="Calibri" w:eastAsia="宋体"/>
        </w:rPr>
        <w:t xml:space="preserve">鞍山市税务局第一稽查局作出鞍税一稽处[2023]7</w:t>
      </w:r>
      <w:r>
        <w:rPr>
          <w:sz w:val="30"/>
          <w:lang w:val="en-US" w:eastAsia="zh-CN"/>
          <w:rFonts w:hint="eastAsia"/>
        </w:rPr>
        <w:t xml:space="preserve">4</w:t>
      </w:r>
      <w:r>
        <w:rPr>
          <w:sz w:val="30"/>
          <w:lang w:val="en-US" w:eastAsia="zh-CN"/>
          <w:rFonts w:ascii="Calibri" w:hAnsi="Calibri" w:eastAsia="宋体"/>
        </w:rPr>
        <w:t xml:space="preserve">号《税务处理决定书》，</w:t>
      </w:r>
      <w:r>
        <w:rPr>
          <w:sz w:val="30"/>
          <w:lang w:val="en-US" w:eastAsia="zh-CN"/>
          <w:rFonts w:ascii="Calibri" w:hAnsi="Calibri" w:hint="eastAsia"/>
        </w:rPr>
        <w:t xml:space="preserve">认定，鞍山昌锦能源化工有限公司在2019年1月至5月期间无销售收入，6月至11月收入激增到8.9亿，不符合企业正常经营状态。鞍山昌锦能源化工有限公司2019年度在没有生产，也没有真实业务发生的情况下虚开增值税专用发票。被告三鞍山市税务局作出《行政复议决定书》，认为本案具体行政行为认定事实清楚、证据确凿，程序合法，内容适当，但适用依据不当，并予以更改。</w:t>
      </w:r>
      <w:r>
        <w:rPr>
          <w:sz w:val="30"/>
          <w:lang w:val="en-US" w:eastAsia="zh-CN"/>
          <w:rFonts w:ascii="Calibri" w:hAnsi="Calibri"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rFonts w:ascii="Calibri" w:hAnsi="Calibri" w:hint="eastAsia"/>
        </w:rPr>
      </w:pPr>
      <w:r>
        <w:rPr>
          <w:sz w:val="30"/>
          <w:lang w:val="en-US" w:eastAsia="zh-CN"/>
          <w:rFonts w:ascii="Calibri" w:hAnsi="Calibri" w:hint="eastAsia"/>
        </w:rPr>
        <w:t xml:space="preserve">原告对此不服提起诉讼，海城法院作出法</w:t>
      </w:r>
      <w:r>
        <w:rPr>
          <w:sz w:val="30"/>
          <w:lang w:val="en-US" w:eastAsia="zh-CN"/>
          <w:rFonts w:ascii="Calibri" w:hAnsi="Calibri" w:eastAsia="宋体"/>
        </w:rPr>
        <w:t xml:space="preserve">(2024)辽0381行初4</w:t>
      </w:r>
      <w:r>
        <w:rPr>
          <w:sz w:val="30"/>
          <w:lang w:val="en-US" w:eastAsia="zh-CN"/>
          <w:rFonts w:hint="eastAsia"/>
        </w:rPr>
        <w:t xml:space="preserve">6</w:t>
      </w:r>
      <w:r>
        <w:rPr>
          <w:sz w:val="30"/>
          <w:lang w:val="en-US" w:eastAsia="zh-CN"/>
          <w:rFonts w:ascii="Calibri" w:hAnsi="Calibri" w:eastAsia="宋体"/>
        </w:rPr>
        <w:t xml:space="preserve">号</w:t>
      </w:r>
      <w:r>
        <w:rPr>
          <w:sz w:val="30"/>
          <w:lang w:val="en-US" w:eastAsia="zh-CN"/>
          <w:rFonts w:ascii="Calibri" w:hAnsi="Calibri" w:hint="eastAsia"/>
        </w:rPr>
        <w:t xml:space="preserve">行政裁定</w:t>
      </w:r>
      <w:r>
        <w:rPr>
          <w:sz w:val="30"/>
          <w:lang w:val="en-US" w:eastAsia="zh-CN"/>
          <w:rFonts w:hint="eastAsia"/>
        </w:rPr>
        <w:t xml:space="preserve">书</w:t>
      </w:r>
      <w:r>
        <w:rPr>
          <w:sz w:val="30"/>
          <w:lang w:val="en-US" w:eastAsia="zh-CN"/>
          <w:rFonts w:ascii="Calibri" w:hAnsi="Calibri" w:hint="eastAsia"/>
        </w:rPr>
        <w:t xml:space="preserve">，驳回原告的起诉</w:t>
      </w:r>
      <w:r>
        <w:rPr>
          <w:sz w:val="30"/>
          <w:lang w:val="en-US" w:eastAsia="zh-CN"/>
          <w:rFonts w:hint="eastAsia"/>
        </w:rPr>
        <w:t xml:space="preserve">，</w:t>
      </w:r>
      <w:r>
        <w:rPr>
          <w:sz w:val="30"/>
          <w:lang w:val="en-US" w:eastAsia="zh-CN"/>
          <w:rFonts w:ascii="Calibri" w:hAnsi="Calibri" w:hint="eastAsia"/>
        </w:rPr>
        <w:t xml:space="preserve">认为本案的具体行政行为对上诉人</w:t>
      </w:r>
      <w:r>
        <w:rPr>
          <w:sz w:val="30"/>
          <w:lang w:val="en-US" w:eastAsia="zh-CN"/>
          <w:rFonts w:hint="eastAsia"/>
        </w:rPr>
        <w:t xml:space="preserve">权利义务</w:t>
      </w:r>
      <w:r>
        <w:rPr>
          <w:sz w:val="30"/>
          <w:lang w:val="en-US" w:eastAsia="zh-CN"/>
          <w:rFonts w:ascii="Calibri" w:hAnsi="Calibri" w:hint="eastAsia"/>
        </w:rPr>
        <w:t xml:space="preserve">没有实际影响，不属于法院管辖范围。</w:t>
      </w:r>
      <w:r>
        <w:rPr>
          <w:sz w:val="30"/>
          <w:lang w:val="en-US" w:eastAsia="zh-CN"/>
          <w:rFonts w:ascii="Calibri" w:hAnsi="Calibri"/>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rFonts w:ascii="Calibri" w:hAnsi="Calibri" w:eastAsia="宋体"/>
        </w:rPr>
      </w:pPr>
      <w:r>
        <w:rPr>
          <w:sz w:val="30"/>
          <w:lang w:val="en-US" w:eastAsia="zh-CN"/>
          <w:rFonts w:ascii="Calibri" w:hAnsi="Calibri" w:eastAsia="宋体"/>
        </w:rPr>
        <w:t xml:space="preserve">(2024)辽0381行初4</w:t>
      </w:r>
      <w:r>
        <w:rPr>
          <w:sz w:val="30"/>
          <w:lang w:val="en-US" w:eastAsia="zh-CN"/>
          <w:rFonts w:hint="eastAsia"/>
        </w:rPr>
        <w:t xml:space="preserve">6</w:t>
      </w:r>
      <w:r>
        <w:rPr>
          <w:sz w:val="30"/>
          <w:lang w:val="en-US" w:eastAsia="zh-CN"/>
          <w:rFonts w:ascii="Calibri" w:hAnsi="Calibri" w:eastAsia="宋体"/>
        </w:rPr>
        <w:t xml:space="preserve">号</w:t>
      </w:r>
      <w:r>
        <w:rPr>
          <w:sz w:val="30"/>
          <w:lang w:val="en-US" w:eastAsia="zh-CN"/>
          <w:rFonts w:ascii="Calibri" w:hAnsi="Calibri" w:hint="eastAsia"/>
        </w:rPr>
        <w:t xml:space="preserve">行政裁定书认为：根据《税务稽查案件办理程序规定》第四十二条:“经审理，区分下列情形分别作出处理:(一)有税收违法行为，应当作出税务处理决定的，制作税务处理决定书;.......税务处理决定书、税务行政处罚决定书、不予税务行政处罚决定书、税务稽查结论引用的法律、行政法规、规章及其他规范性文件，应当注明文件全称、文号和有关条款。”、第四十三条:“税务处理决定书应当包括以下主要内容:(一)被查对象姓名或者名称、有效身份证件号码或者统一社会信用代码、地址。没有统一社会信用代码的，以税务机关赋予的纳税人识别号代替;(二)检查范围和内容;(三)税收违法事实及所属期间;(四)处理决定及依据;(五)税款金额、缴纳期限及地点;(六)税款滞纳时间、滞纳金计算方法、缴纳期限及地点;(七)被查对象不按期履行处理决定应当承担的责任;(八)申请行政复议或者提起行政诉讼的途径和期限;(九)处理决定书的文号、制作日期、税务机关名称及印章。”的规定，稽查局在办理税务行政案件过程中应依法作出税务行政处理行为。本案中，鞍山市税务局第一稽查局作出的《税务处理决定书》缺少税款缴纳、税款滞纳金缴纳的内容及被查对象不按期履行处理决定应当承担的责任等结果性内容。因此，该《</w:t>
      </w:r>
      <w:r>
        <w:rPr>
          <w:b w:val="1"/>
          <w:sz w:val="30"/>
          <w:lang w:val="en-US" w:eastAsia="zh-CN"/>
          <w:bCs/>
          <w:rFonts w:ascii="Calibri" w:hAnsi="Calibri" w:hint="eastAsia"/>
        </w:rPr>
        <w:t xml:space="preserve">税务处理决定书》只是整个行政处理行为中的一个程序性环节，属于对原告的权利义务不产生实际影响的行政行为。</w:t>
      </w:r>
      <w:r>
        <w:rPr>
          <w:sz w:val="30"/>
          <w:lang w:val="en-US" w:eastAsia="zh-CN"/>
          <w:rFonts w:ascii="Calibri" w:hAnsi="Calibri" w:hint="eastAsia"/>
        </w:rPr>
        <w:t xml:space="preserve">根据《中华人民共和国行政诉讼法》第四十九条:“提起诉讼应当</w:t>
      </w:r>
      <w:r>
        <w:rPr>
          <w:sz w:val="30"/>
          <w:lang w:val="en-US" w:eastAsia="zh-CN"/>
          <w:rFonts w:ascii="Calibri" w:hAnsi="Calibri" w:eastAsia="宋体"/>
        </w:rPr>
        <w:t xml:space="preserve">符合下列条件:......;(四)属于人民法院受案范围和受诉人民法院管辖。”、《最高人民法院关于适用〈中华人民共和国行政诉讼法〉的解释》第一条:“公民、法人或者其他组织对行政机关及其工作人员的行政行为不服，依法提起诉讼的，属于人民法院行政诉讼的受案范围。</w:t>
      </w:r>
      <w:r>
        <w:rPr>
          <w:b w:val="1"/>
          <w:sz w:val="30"/>
          <w:lang w:val="en-US" w:eastAsia="zh-CN"/>
          <w:bCs/>
          <w:rFonts w:ascii="Calibri" w:hAnsi="Calibri" w:eastAsia="宋体"/>
        </w:rPr>
        <w:t xml:space="preserve">下列行为不属于人民法院行政诉讼的受案范围:...…;(十)对公民、法人或者其他组织权利义务不产生实际影响的行为。</w:t>
      </w:r>
      <w:r>
        <w:rPr>
          <w:sz w:val="30"/>
          <w:lang w:val="en-US" w:eastAsia="zh-CN"/>
          <w:rFonts w:ascii="Calibri" w:hAnsi="Calibri" w:eastAsia="宋体"/>
        </w:rPr>
        <w:t xml:space="preserve">”、第六十九条:“有下列情形之一，已经立案的，应当裁定驳回起诉:(一)不符合行政诉讼法第四十九条规定的;.....;(十)其他不符合法定起诉条件的情形。..…”的规定，应裁定驳回原告</w:t>
      </w:r>
      <w:r>
        <w:rPr>
          <w:sz w:val="30"/>
          <w:lang w:val="en-US" w:eastAsia="zh-CN"/>
          <w:rFonts w:ascii="Calibri" w:hAnsi="Calibri" w:eastAsia="宋体"/>
        </w:rPr>
        <w:t xml:space="preserve">的起诉。</w:t>
      </w:r>
      <w:r>
        <w:rPr>
          <w:sz w:val="30"/>
          <w:lang w:val="en-US" w:eastAsia="zh-CN"/>
          <w:rFonts w:ascii="Calibri" w:hAnsi="Calibri" w:eastAsia="宋体"/>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rFonts w:ascii="Calibri" w:hAnsi="Calibri" w:eastAsia="宋体"/>
        </w:rPr>
      </w:pPr>
      <w:r>
        <w:rPr>
          <w:sz w:val="30"/>
          <w:lang w:val="en-US" w:eastAsia="zh-CN"/>
          <w:rFonts w:ascii="Calibri" w:hAnsi="Calibri" w:eastAsia="宋体"/>
        </w:rPr>
        <w:t xml:space="preserve">因原告</w:t>
      </w:r>
      <w:r>
        <w:rPr>
          <w:sz w:val="30"/>
          <w:lang w:val="en-US" w:eastAsia="zh-CN"/>
          <w:rFonts w:ascii="Calibri" w:hAnsi="Calibri" w:eastAsia="宋体"/>
        </w:rPr>
        <w:t xml:space="preserve">的起诉不属于行政诉讼受案范围，也不属于行政复议范围，故被告鞍山市税务局作出的被诉行政复议决定系对不符合复议或者诉讼受案范围的案件作出维持决定的情形。根据《最高人民法院关于适用〈中华人民共和国行政诉讼法〉的解释》第一百三十六条:“.…...。原行政行为不符合复议或者诉讼受案范围等受理条件，复议机关作出维持决定的，人民法院应当裁定一并驳回对原行政行为和复议决定的起诉。”的规定，应裁定一并驳回原告对行政复议决定的起诉。</w:t>
      </w:r>
      <w:r>
        <w:rPr>
          <w:sz w:val="30"/>
          <w:lang w:val="en-US" w:eastAsia="zh-CN"/>
          <w:rFonts w:ascii="Calibri" w:hAnsi="Calibri" w:eastAsia="宋体"/>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rFonts w:ascii="Calibri" w:hAnsi="Calibri" w:hint="eastAsia"/>
        </w:rPr>
      </w:pPr>
      <w:r>
        <w:rPr>
          <w:sz w:val="30"/>
          <w:lang w:val="en-US" w:eastAsia="zh-CN"/>
          <w:rFonts w:hint="eastAsia"/>
        </w:rPr>
        <w:t xml:space="preserve">原告认为</w:t>
      </w:r>
      <w:r>
        <w:rPr>
          <w:sz w:val="30"/>
          <w:lang w:val="en-US" w:eastAsia="zh-CN"/>
          <w:rFonts w:ascii="Calibri" w:hAnsi="Calibri" w:eastAsia="宋体"/>
        </w:rPr>
        <w:t xml:space="preserve">《税务处理决定书》</w:t>
      </w:r>
      <w:r>
        <w:rPr>
          <w:sz w:val="30"/>
          <w:lang w:val="en-US" w:eastAsia="zh-CN"/>
          <w:rFonts w:ascii="Calibri" w:hAnsi="Calibri" w:hint="eastAsia"/>
        </w:rPr>
        <w:t xml:space="preserve">虽然没有处罚内容和罚款内容，但认定原告虚开发票必然导致原告企业经济损失（如补税、罚款</w:t>
      </w:r>
      <w:r>
        <w:rPr>
          <w:sz w:val="30"/>
          <w:lang w:val="en-US" w:eastAsia="zh-CN"/>
          <w:rFonts w:hint="eastAsia"/>
        </w:rPr>
        <w:t xml:space="preserve">等</w:t>
      </w:r>
      <w:r>
        <w:rPr>
          <w:sz w:val="30"/>
          <w:lang w:val="en-US" w:eastAsia="zh-CN"/>
          <w:rFonts w:ascii="Calibri" w:hAnsi="Calibri" w:hint="eastAsia"/>
        </w:rPr>
        <w:t xml:space="preserve">），而税务局在当庭已经明确基于该</w:t>
      </w:r>
      <w:r>
        <w:rPr>
          <w:sz w:val="30"/>
          <w:lang w:val="en-US" w:eastAsia="zh-CN"/>
          <w:rFonts w:ascii="Calibri" w:hAnsi="Calibri" w:eastAsia="宋体"/>
        </w:rPr>
        <w:t xml:space="preserve">《税务处理决定书》</w:t>
      </w:r>
      <w:r>
        <w:rPr>
          <w:sz w:val="30"/>
          <w:lang w:val="en-US" w:eastAsia="zh-CN"/>
          <w:rFonts w:ascii="Calibri" w:hAnsi="Calibri" w:hint="eastAsia"/>
        </w:rPr>
        <w:t xml:space="preserve">会进一步作出处罚决定如补税、罚款</w:t>
      </w:r>
      <w:r>
        <w:rPr>
          <w:sz w:val="30"/>
          <w:lang w:val="en-US" w:eastAsia="zh-CN"/>
          <w:rFonts w:hint="eastAsia"/>
        </w:rPr>
        <w:t xml:space="preserve">等</w:t>
      </w:r>
      <w:r>
        <w:rPr>
          <w:sz w:val="30"/>
          <w:lang w:val="en-US" w:eastAsia="zh-CN"/>
          <w:rFonts w:ascii="Calibri" w:hAnsi="Calibri" w:hint="eastAsia"/>
        </w:rPr>
        <w:t xml:space="preserve">。故该</w:t>
      </w:r>
      <w:r>
        <w:rPr>
          <w:sz w:val="30"/>
          <w:lang w:val="en-US" w:eastAsia="zh-CN"/>
          <w:rFonts w:ascii="Calibri" w:hAnsi="Calibri" w:eastAsia="宋体"/>
        </w:rPr>
        <w:t xml:space="preserve">《税务处理决定书》</w:t>
      </w:r>
      <w:r>
        <w:rPr>
          <w:sz w:val="30"/>
          <w:lang w:val="en-US" w:eastAsia="zh-CN"/>
          <w:rFonts w:ascii="Calibri" w:hAnsi="Calibri" w:hint="eastAsia"/>
        </w:rPr>
        <w:t xml:space="preserve">对申诉人权利义务已经产生实际影响。海城法院认为该行政行为对原告没有实际影响是错误的。故请法院依法予以撤销。</w:t>
      </w:r>
      <w:r>
        <w:rPr>
          <w:sz w:val="30"/>
          <w:lang w:val="en-US" w:eastAsia="zh-CN"/>
          <w:rFonts w:ascii="Calibri" w:hAnsi="Calibri"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rFonts w:ascii="Calibri" w:hAnsi="Calibri" w:hint="eastAsia"/>
        </w:rPr>
      </w:pPr>
      <w:r>
        <w:rPr>
          <w:sz w:val="30"/>
          <w:lang w:val="en-US" w:eastAsia="zh-CN"/>
          <w:rFonts w:ascii="Calibri" w:hAnsi="Calibri" w:hint="eastAsia"/>
        </w:rPr>
        <w:t xml:space="preserve">另外，在本次诉讼之前，被告一海城市税务局申请法院确认鞍海税耿庄通</w:t>
      </w:r>
      <w:r>
        <w:rPr>
          <w:sz w:val="30"/>
          <w:lang w:val="en-US" w:eastAsia="zh-CN"/>
          <w:szCs w:val="32"/>
          <w:rFonts w:ascii="仿宋" w:hAnsi="仿宋" w:eastAsia="仿宋" w:hint="eastAsia"/>
        </w:rPr>
        <w:t xml:space="preserve">[2020]36号税务事项通知强制执行</w:t>
      </w:r>
      <w:r>
        <w:rPr>
          <w:sz w:val="30"/>
          <w:lang w:val="en-US" w:eastAsia="zh-CN"/>
          <w:rFonts w:ascii="仿宋" w:hAnsi="仿宋" w:eastAsia="仿宋" w:hint="eastAsia"/>
        </w:rPr>
        <w:t xml:space="preserve">。海城市人民法院以（2020）辽0381行审176号行政裁定书予以准许强制执行。</w:t>
      </w:r>
      <w:r>
        <w:rPr>
          <w:sz w:val="30"/>
          <w:lang w:val="en-US" w:eastAsia="zh-CN"/>
          <w:rFonts w:ascii="Calibri" w:hAnsi="Calibri" w:hint="eastAsia"/>
        </w:rPr>
        <w:t xml:space="preserve">鞍海税耿庄通</w:t>
      </w:r>
      <w:r>
        <w:rPr>
          <w:sz w:val="30"/>
          <w:lang w:val="en-US" w:eastAsia="zh-CN"/>
          <w:szCs w:val="32"/>
          <w:rFonts w:ascii="仿宋" w:hAnsi="仿宋" w:eastAsia="仿宋" w:hint="eastAsia"/>
        </w:rPr>
        <w:t xml:space="preserve">[2020]36号税务事项通知确认的内容为：2019年6月至11月期间昌锦公司应纳税210432564.74元，证明昌锦公司有实际货物交易。本次</w:t>
      </w:r>
      <w:r>
        <w:rPr>
          <w:sz w:val="30"/>
          <w:lang w:val="en-US" w:eastAsia="zh-CN"/>
          <w:rFonts w:ascii="Calibri" w:hAnsi="Calibri" w:hint="eastAsia"/>
        </w:rPr>
        <w:t xml:space="preserve">《税务处理决定书》认定昌锦公司在2019年6月至11月期间虚开发票，</w:t>
      </w:r>
      <w:r>
        <w:rPr>
          <w:sz w:val="30"/>
          <w:lang w:val="en-US" w:eastAsia="zh-CN"/>
          <w:szCs w:val="32"/>
          <w:rFonts w:ascii="仿宋" w:hAnsi="仿宋" w:eastAsia="仿宋" w:hint="eastAsia"/>
        </w:rPr>
        <w:t xml:space="preserve">此前税务机关认定是真实交易欠税，本次认定没有货物交易是虚开，显然相互矛盾。</w:t>
      </w:r>
      <w:r>
        <w:rPr>
          <w:sz w:val="30"/>
          <w:lang w:val="en-US" w:eastAsia="zh-CN"/>
          <w:szCs w:val="32"/>
          <w:rFonts w:ascii="仿宋" w:hAnsi="仿宋" w:eastAsia="仿宋"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szCs w:val="32"/>
          <w:rFonts w:ascii="仿宋" w:hAnsi="仿宋" w:eastAsia="仿宋" w:hint="eastAsia"/>
        </w:rPr>
      </w:pPr>
      <w:r>
        <w:rPr>
          <w:sz w:val="30"/>
          <w:lang w:val="en-US" w:eastAsia="zh-CN"/>
          <w:szCs w:val="32"/>
          <w:rFonts w:ascii="仿宋" w:hAnsi="仿宋" w:eastAsia="仿宋" w:hint="eastAsia"/>
        </w:rPr>
        <w:t xml:space="preserve">综上，认定事实和适用法律均错误，应当依法撤销，请求法院依法支持原告的诉请。</w:t>
      </w:r>
      <w:r>
        <w:rPr>
          <w:sz w:val="30"/>
          <w:lang w:val="en-US" w:eastAsia="zh-CN"/>
          <w:szCs w:val="32"/>
          <w:rFonts w:ascii="仿宋" w:hAnsi="仿宋" w:eastAsia="仿宋"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600" w:firstLineChars="200"/>
        <w:rPr>
          <w:sz w:val="30"/>
          <w:lang w:val="en-US" w:eastAsia="zh-CN"/>
          <w:szCs w:val="32"/>
          <w:rFonts w:ascii="仿宋" w:hAnsi="仿宋" w:eastAsia="仿宋" w:hint="eastAsia"/>
        </w:rPr>
      </w:pPr>
      <w:r>
        <w:rPr>
          <w:sz w:val="30"/>
          <w:lang w:val="en-US" w:eastAsia="zh-CN"/>
          <w:szCs w:val="32"/>
          <w:rFonts w:ascii="仿宋" w:hAnsi="仿宋" w:eastAsia="仿宋" w:hint="eastAsia"/>
        </w:rPr>
        <w:t xml:space="preserve">此致</w:t>
      </w:r>
      <w:r>
        <w:rPr>
          <w:sz w:val="30"/>
          <w:lang w:val="en-US" w:eastAsia="zh-CN"/>
          <w:szCs w:val="32"/>
          <w:rFonts w:ascii="仿宋" w:hAnsi="仿宋" w:eastAsia="仿宋"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rPr>
          <w:sz w:val="30"/>
          <w:lang w:val="en-US" w:eastAsia="zh-CN"/>
          <w:szCs w:val="32"/>
          <w:rFonts w:ascii="仿宋" w:hAnsi="仿宋" w:eastAsia="仿宋" w:hint="eastAsia"/>
        </w:rPr>
      </w:pPr>
      <w:r>
        <w:rPr>
          <w:sz w:val="30"/>
          <w:lang w:val="en-US" w:eastAsia="zh-CN"/>
          <w:szCs w:val="32"/>
          <w:rFonts w:ascii="仿宋" w:hAnsi="仿宋" w:eastAsia="仿宋" w:hint="eastAsia"/>
        </w:rPr>
        <w:t xml:space="preserve">海城市人民法院</w:t>
      </w:r>
      <w:r>
        <w:rPr>
          <w:sz w:val="30"/>
          <w:lang w:val="en-US" w:eastAsia="zh-CN"/>
          <w:szCs w:val="32"/>
          <w:rFonts w:ascii="仿宋" w:hAnsi="仿宋" w:eastAsia="仿宋"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3300" w:firstLineChars="1100"/>
        <w:rPr>
          <w:sz w:val="30"/>
          <w:lang w:val="en-US" w:eastAsia="zh-CN"/>
          <w:szCs w:val="32"/>
          <w:rFonts w:ascii="仿宋" w:hAnsi="仿宋" w:eastAsia="仿宋" w:hint="eastAsia"/>
        </w:rPr>
      </w:pPr>
      <w:r>
        <w:rPr>
          <w:sz w:val="30"/>
          <w:lang w:val="en-US" w:eastAsia="zh-CN"/>
          <w:szCs w:val="32"/>
          <w:rFonts w:ascii="仿宋" w:hAnsi="仿宋" w:eastAsia="仿宋"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3300" w:firstLineChars="1100"/>
        <w:rPr>
          <w:sz w:val="30"/>
          <w:lang w:val="en-US" w:eastAsia="zh-CN"/>
          <w:szCs w:val="32"/>
          <w:rFonts w:ascii="仿宋" w:hAnsi="仿宋" w:eastAsia="仿宋" w:hint="eastAsia"/>
        </w:rPr>
      </w:pPr>
      <w:r>
        <w:rPr>
          <w:sz w:val="30"/>
          <w:lang w:val="en-US" w:eastAsia="zh-CN"/>
          <w:szCs w:val="32"/>
          <w:rFonts w:ascii="仿宋" w:hAnsi="仿宋" w:eastAsia="仿宋" w:hint="eastAsia"/>
        </w:rPr>
        <w:t xml:space="preserve">原告：</w:t>
      </w:r>
      <w:r>
        <w:rPr>
          <w:color w:val="000000"/>
          <w:sz w:val="31"/>
          <w:lang w:val="en-US" w:eastAsia="zh-CN" w:bidi="ar"/>
          <w:szCs w:val="31"/>
          <w:kern w:val="0"/>
          <w:rFonts w:ascii="仿宋_GB2312" w:hAnsi="仿宋_GB2312" w:eastAsia="仿宋_GB2312"/>
        </w:rPr>
        <w:t xml:space="preserve">鞍山昌锦能源化工有限公司</w:t>
      </w:r>
      <w:r>
        <w:rPr>
          <w:sz w:val="30"/>
          <w:lang w:val="en-US" w:eastAsia="zh-CN"/>
          <w:rFonts w:ascii="Calibri" w:hAnsi="Calibri" w:eastAsia="宋体"/>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5100" w:firstLineChars="1700"/>
        <w:rPr>
          <w:sz w:val="30"/>
          <w:lang w:val="en-US" w:eastAsia="zh-CN"/>
          <w:rFonts w:ascii="Calibri" w:hAnsi="Calibri" w:hint="eastAsia"/>
        </w:rPr>
      </w:pPr>
      <w:r>
        <w:rPr>
          <w:sz w:val="30"/>
          <w:lang w:val="en-US" w:eastAsia="zh-CN"/>
          <w:rFonts w:ascii="Calibri" w:hAnsi="Calibri"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00" w:lineRule="exact"/>
        <w:ind w:firstLine="5100" w:firstLineChars="1700"/>
        <w:rPr>
          <w:sz w:val="30"/>
          <w:lang w:val="en-US" w:eastAsia="zh-CN"/>
          <w:rFonts w:ascii="Calibri" w:hAnsi="Calibri" w:hint="eastAsia"/>
        </w:rPr>
      </w:pPr>
      <w:r>
        <w:rPr>
          <w:sz w:val="30"/>
          <w:lang w:val="en-US" w:eastAsia="zh-CN"/>
          <w:rFonts w:ascii="Calibri" w:hAnsi="Calibri" w:hint="eastAsia"/>
        </w:rPr>
        <w:t xml:space="preserve">2024年9月30日</w:t>
      </w:r>
      <w:r>
        <w:rPr>
          <w:sz w:val="30"/>
          <w:lang w:val="en-US" w:eastAsia="zh-CN"/>
          <w:rFonts w:ascii="Calibri" w:hAnsi="Calibri" w:eastAsia="宋体"/>
        </w:rPr>
      </w:r>
    </w:p>
    <w:sectPr>
      <w:type w:val="nextPage"/>
      <w:docGrid w:type="lines" w:linePitch="312" w:charSpace="0"/>
      <w:pgSz w:w="11906" w:h="16838"/>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6E91DF68"/>
    <w:multiLevelType w:val="singleLevel"/>
    <w:tmpl w:val="6E91DF68"/>
    <w:lvl w:ilvl="0">
      <w:start w:val="1"/>
      <w:numFmt w:val="decimal"/>
      <w:suff w:val="nothing"/>
      <w:lvlText w:val="%1、"/>
      <w:lvlJc w:val="left"/>
      <w:pPr>
        <w:pStyle w:val="Normal"/>
      </w:pPr>
      <w:rPr/>
    </w:lvl>
  </w:abstractNum>
  <w:num w:numId="1">
    <w:abstractNumId w:val="0"/>
  </w:num>
</w:numbering>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2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Fonts w:ascii="Calibri" w:hAnsi="Calibri" w:eastAsia="宋体"/>
    </w:rPr>
  </w:style>
  <w:style w:type="character" w:styleId="NormalCharacter">
    <w:name w:val="默认段落字体"/>
    <w:link w:val="Normal"/>
    <w:semiHidden/>
  </w:style>
  <w:style w:type="table" w:styleId="TableNormal">
    <w:name w:val="普通表格"/>
    <w:link w:val="Normal"/>
    <w:semiHidden/>
  </w:style>
</w:styles>
</file>

<file path=word/_rels/document.xml.rels><?xml version="1.0" encoding="UTF-8" standalone="yes"?><Relationships xmlns="http://schemas.openxmlformats.org/package/2006/relationships"><Relationship Id="rId3"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